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w:t>
      </w:r>
      <w:r>
        <w:rPr>
          <w:sz w:val="24"/>
        </w:rPr>
        <w:t>атель</w:t>
      </w:r>
      <w:r>
        <w:rPr>
          <w:sz w:val="24"/>
        </w:rPr>
        <w:t xml:space="preserve"> обязуется предоставить  во временное  владение  и пользование, а   Аренда</w:t>
      </w:r>
      <w:r>
        <w:rPr>
          <w:sz w:val="24"/>
        </w:rPr>
        <w:t>т</w:t>
      </w:r>
      <w:r>
        <w:rPr>
          <w:sz w:val="24"/>
        </w:rPr>
        <w:t xml:space="preserve">ор  </w:t>
      </w:r>
      <w:r>
        <w:rPr>
          <w:sz w:val="24"/>
        </w:rPr>
        <w:t>п</w:t>
      </w:r>
      <w:r>
        <w:rPr>
          <w:sz w:val="24"/>
        </w:rPr>
        <w:t>р</w:t>
      </w:r>
      <w:r>
        <w:rPr>
          <w:sz w:val="24"/>
        </w:rPr>
        <w:t>ин</w:t>
      </w:r>
      <w:r>
        <w:rPr>
          <w:sz w:val="24"/>
        </w:rPr>
        <w:t xml:space="preserve">ять  </w:t>
      </w:r>
      <w:r>
        <w:rPr>
          <w:sz w:val="24"/>
        </w:rPr>
        <w:t>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rFonts w:ascii="Times New Roman" w:hAnsi="Times New Roman"/>
          <w:sz w:val="24"/>
        </w:rPr>
        <w:t xml:space="preserve"> </w:t>
      </w:r>
      <w:r>
        <w:rPr>
          <w:rFonts w:ascii="Times New Roman" w:hAnsi="Times New Roman"/>
          <w:sz w:val="24"/>
        </w:rPr>
        <w:t xml:space="preserve"> </w:t>
      </w:r>
      <w:r>
        <w:rPr>
          <w:rFonts w:ascii="Times New Roman" w:hAnsi="Times New Roman"/>
          <w:sz w:val="24"/>
        </w:rPr>
        <w:t>23:39:0302004:1582</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791</w:t>
      </w:r>
      <w:r>
        <w:rPr>
          <w:rFonts w:ascii="Times New Roman" w:hAnsi="Times New Roman"/>
          <w:sz w:val="24"/>
        </w:rPr>
        <w:t xml:space="preserve"> </w:t>
      </w:r>
      <w:r>
        <w:rPr>
          <w:sz w:val="24"/>
        </w:rPr>
        <w:t>кв.м</w:t>
      </w:r>
      <w:r>
        <w:rPr>
          <w:sz w:val="24"/>
        </w:rPr>
        <w:t>., расположен</w:t>
      </w:r>
      <w:r>
        <w:rPr>
          <w:sz w:val="24"/>
        </w:rPr>
        <w:t xml:space="preserve">ный по адресу: </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Великовечненское</w:t>
      </w:r>
      <w:r>
        <w:rPr>
          <w:rFonts w:ascii="Times New Roman" w:hAnsi="Times New Roman"/>
          <w:sz w:val="24"/>
        </w:rPr>
        <w:t xml:space="preserve"> с/п., с. </w:t>
      </w:r>
      <w:r>
        <w:rPr>
          <w:rFonts w:ascii="Times New Roman" w:hAnsi="Times New Roman"/>
          <w:sz w:val="24"/>
        </w:rPr>
        <w:t>Великовечное</w:t>
      </w:r>
      <w:r>
        <w:rPr>
          <w:rFonts w:ascii="Times New Roman" w:hAnsi="Times New Roman"/>
          <w:sz w:val="24"/>
        </w:rPr>
        <w:t xml:space="preserve">, </w:t>
      </w:r>
      <w:r>
        <w:rPr>
          <w:rFonts w:ascii="Times New Roman" w:hAnsi="Times New Roman"/>
          <w:sz w:val="24"/>
        </w:rPr>
        <w:t xml:space="preserve">ул. </w:t>
      </w:r>
      <w:r>
        <w:rPr>
          <w:rFonts w:ascii="Times New Roman" w:hAnsi="Times New Roman"/>
          <w:sz w:val="24"/>
        </w:rPr>
        <w:t>Дровянникова</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индивидуального жилищного строительства</w:t>
      </w:r>
      <w:r>
        <w:rPr>
          <w:rFonts w:ascii="Times New Roman" w:hAnsi="Times New Roman"/>
          <w:sz w:val="24"/>
        </w:rPr>
        <w:t>.</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160826,12</w:t>
      </w:r>
      <w:r>
        <w:rPr>
          <w:sz w:val="24"/>
        </w:rPr>
        <w:t xml:space="preserve"> руб. (</w:t>
      </w:r>
      <w:r>
        <w:rPr>
          <w:sz w:val="24"/>
        </w:rPr>
        <w:t>сто шестьдесят тысяч восемьсот двадцать шесть рублей 12 копеек)</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 xml:space="preserve">тка, засчитывается в счет арендной платы по договору </w:t>
      </w:r>
      <w:r>
        <w:rPr>
          <w:sz w:val="24"/>
        </w:rPr>
        <w:t>за первый</w:t>
      </w:r>
      <w:r>
        <w:rPr>
          <w:sz w:val="24"/>
        </w:rPr>
        <w:t xml:space="preserve"> год </w:t>
      </w:r>
      <w:r>
        <w:rPr>
          <w:sz w:val="24"/>
        </w:rPr>
        <w:t>испо</w:t>
      </w:r>
      <w:r>
        <w:rPr>
          <w:sz w:val="24"/>
        </w:rPr>
        <w:t>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rPr>
          <w:sz w:val="24"/>
        </w:rPr>
      </w:pPr>
      <w:r>
        <w:rPr>
          <w:sz w:val="24"/>
        </w:rPr>
        <w:t>2.2. Годовой размер арендной платы устанавливается по результатам торгов и составляет _________ (____________________________________) ру</w:t>
      </w:r>
      <w:r>
        <w:rPr>
          <w:sz w:val="24"/>
        </w:rPr>
        <w:t xml:space="preserve">б. ___ коп. </w:t>
      </w:r>
    </w:p>
    <w:p w14:paraId="11000000">
      <w:pPr>
        <w:ind/>
        <w:jc w:val="both"/>
      </w:pPr>
      <w:r>
        <w:rPr>
          <w:sz w:val="24"/>
        </w:rPr>
        <w:t>По истечении 12 месяцев со дня подписания настоящего Договора, арендная плата, подлежащая уплате, рассчитывается  из годового</w:t>
      </w:r>
      <w:r>
        <w:t xml:space="preserve">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t>19</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sz w:val="28"/>
          <w:highlight w:val="white"/>
        </w:rPr>
      </w:pPr>
      <w:r>
        <w:rPr>
          <w:sz w:val="24"/>
        </w:rPr>
        <w:t>9.1</w:t>
      </w:r>
      <w:r>
        <w:rPr>
          <w:sz w:val="24"/>
        </w:rPr>
        <w:t>.</w:t>
      </w:r>
      <w:r>
        <w:rPr>
          <w:rFonts w:ascii="Times New Roman" w:hAnsi="Times New Roman"/>
          <w:sz w:val="24"/>
        </w:rPr>
        <w:t xml:space="preserve"> Уча</w:t>
      </w:r>
      <w:r>
        <w:rPr>
          <w:rFonts w:ascii="Times New Roman" w:hAnsi="Times New Roman"/>
          <w:sz w:val="24"/>
        </w:rPr>
        <w:t>сто</w:t>
      </w:r>
      <w:r>
        <w:rPr>
          <w:sz w:val="24"/>
        </w:rPr>
        <w:t xml:space="preserve">к </w:t>
      </w:r>
      <w:r>
        <w:rPr>
          <w:sz w:val="24"/>
        </w:rPr>
        <w:t xml:space="preserve">пересекается охранной зоной </w:t>
      </w:r>
      <w:r>
        <w:rPr>
          <w:sz w:val="24"/>
        </w:rPr>
        <w:t>ВЛ</w:t>
      </w:r>
      <w:r>
        <w:rPr>
          <w:sz w:val="24"/>
        </w:rPr>
        <w:t xml:space="preserve"> 0,4 </w:t>
      </w:r>
      <w:r>
        <w:rPr>
          <w:sz w:val="24"/>
        </w:rPr>
        <w:t>кВ</w:t>
      </w:r>
      <w:r>
        <w:rPr>
          <w:sz w:val="24"/>
        </w:rPr>
        <w:t xml:space="preserve"> В1-667 (ЗОУИТ 23:39-6.1024), расположен</w:t>
      </w:r>
      <w:r>
        <w:rPr>
          <w:sz w:val="24"/>
          <w:highlight w:val="white"/>
        </w:rPr>
        <w:t xml:space="preserve"> в зоне подтопления территории при половодьях и паводках р. Белая 1 % обеспеченности. </w:t>
      </w:r>
      <w:r>
        <w:rPr>
          <w:sz w:val="24"/>
          <w:highlight w:val="white"/>
        </w:rPr>
        <w:t>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sz w:val="24"/>
          <w:highlight w:val="white"/>
        </w:rPr>
        <w:t xml:space="preserve">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 Необходимо обеспечение инженерной защиты объектов от подтопления и затопления. </w:t>
      </w:r>
      <w:r>
        <w:rPr>
          <w:sz w:val="24"/>
          <w:highlight w:val="white"/>
        </w:rPr>
        <w:t xml:space="preserve">В соответствии с гл. 3 </w:t>
      </w:r>
      <w:r>
        <w:rPr>
          <w:sz w:val="24"/>
          <w:highlight w:val="white"/>
        </w:rPr>
        <w:t>п.п</w:t>
      </w:r>
      <w:r>
        <w:rPr>
          <w:sz w:val="24"/>
          <w:highlight w:val="white"/>
        </w:rPr>
        <w:t>. 8-15 Постановления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 160 от 24.02.2009г.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w:t>
      </w:r>
      <w:r>
        <w:rPr>
          <w:sz w:val="24"/>
          <w:highlight w:val="white"/>
        </w:rPr>
        <w:t xml:space="preserve">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ВЭЛ посторонние предметы, а также подниматься на опоры ВЭЛ; б) размещать любые объекты и предметы (материалы) в </w:t>
      </w:r>
      <w:r>
        <w:rPr>
          <w:sz w:val="24"/>
          <w:highlight w:val="white"/>
        </w:rPr>
        <w:t>пределах</w:t>
      </w:r>
      <w:r>
        <w:rPr>
          <w:sz w:val="24"/>
          <w:highlight w:val="white"/>
        </w:rPr>
        <w:t xml:space="preserve"> созданных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РУ и РП, открывать двери и люки РУ и РП, производить переключения и подключения в электрических сетях, разводить огонь в пределах охранных зон вводных и распределительных устройств, подстанций, ВЭЛ,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r>
        <w:rPr>
          <w:sz w:val="24"/>
          <w:highlight w:val="white"/>
        </w:rPr>
        <w:t xml:space="preserve"> </w:t>
      </w:r>
      <w:r>
        <w:rPr>
          <w:sz w:val="24"/>
          <w:highlight w:val="white"/>
        </w:rPr>
        <w:t>Необходимо обеспечение инженерной защиты объектов от подтопления и затопления</w:t>
      </w:r>
      <w:r>
        <w:rPr>
          <w:sz w:val="24"/>
        </w:rPr>
        <w:t>.</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Body Text 3"/>
    <w:basedOn w:val="Style_1"/>
    <w:link w:val="Style_3_ch"/>
    <w:pPr>
      <w:spacing w:after="120"/>
      <w:ind/>
    </w:pPr>
    <w:rPr>
      <w:sz w:val="16"/>
    </w:rPr>
  </w:style>
  <w:style w:styleId="Style_3_ch" w:type="character">
    <w:name w:val="Body Text 3"/>
    <w:basedOn w:val="Style_1_ch"/>
    <w:link w:val="Style_3"/>
    <w:rPr>
      <w:sz w:val="16"/>
    </w:rPr>
  </w:style>
  <w:style w:styleId="Style_4" w:type="paragraph">
    <w:name w:val="toc 4"/>
    <w:next w:val="Style_1"/>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Body Text 2"/>
    <w:basedOn w:val="Style_1"/>
    <w:link w:val="Style_5_ch"/>
    <w:pPr>
      <w:spacing w:after="120" w:line="480" w:lineRule="auto"/>
      <w:ind/>
    </w:pPr>
  </w:style>
  <w:style w:styleId="Style_5_ch" w:type="character">
    <w:name w:val="Body Text 2"/>
    <w:basedOn w:val="Style_1_ch"/>
    <w:link w:val="Style_5"/>
  </w:style>
  <w:style w:styleId="Style_6" w:type="paragraph">
    <w:name w:val="toc 6"/>
    <w:next w:val="Style_1"/>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1"/>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heading 3"/>
    <w:basedOn w:val="Style_1"/>
    <w:next w:val="Style_1"/>
    <w:link w:val="Style_8_ch"/>
    <w:uiPriority w:val="9"/>
    <w:qFormat/>
    <w:pPr>
      <w:keepNext w:val="1"/>
      <w:keepLines w:val="1"/>
      <w:spacing w:after="80" w:before="280"/>
      <w:ind/>
      <w:outlineLvl w:val="2"/>
    </w:pPr>
    <w:rPr>
      <w:b w:val="1"/>
      <w:sz w:val="28"/>
    </w:rPr>
  </w:style>
  <w:style w:styleId="Style_8_ch" w:type="character">
    <w:name w:val="heading 3"/>
    <w:basedOn w:val="Style_1_ch"/>
    <w:link w:val="Style_8"/>
    <w:rPr>
      <w:b w:val="1"/>
      <w:sz w:val="28"/>
    </w:rPr>
  </w:style>
  <w:style w:styleId="Style_9" w:type="paragraph">
    <w:name w:val="List Paragraph"/>
    <w:basedOn w:val="Style_1"/>
    <w:link w:val="Style_9_ch"/>
    <w:pPr>
      <w:ind w:firstLine="0" w:left="720"/>
      <w:contextualSpacing w:val="1"/>
    </w:pPr>
  </w:style>
  <w:style w:styleId="Style_9_ch" w:type="character">
    <w:name w:val="List Paragraph"/>
    <w:basedOn w:val="Style_1_ch"/>
    <w:link w:val="Style_9"/>
  </w:style>
  <w:style w:styleId="Style_10" w:type="paragraph">
    <w:name w:val="Цветовое выделение"/>
    <w:link w:val="Style_10_ch"/>
    <w:rPr>
      <w:b w:val="1"/>
      <w:color w:val="000080"/>
      <w:sz w:val="20"/>
    </w:rPr>
  </w:style>
  <w:style w:styleId="Style_10_ch" w:type="character">
    <w:name w:val="Цветовое выделение"/>
    <w:link w:val="Style_10"/>
    <w:rPr>
      <w:b w:val="1"/>
      <w:color w:val="000080"/>
      <w:sz w:val="20"/>
    </w:rPr>
  </w:style>
  <w:style w:styleId="Style_11" w:type="paragraph">
    <w:name w:val="Default Paragraph Font"/>
    <w:link w:val="Style_11_ch"/>
  </w:style>
  <w:style w:styleId="Style_11_ch" w:type="character">
    <w:name w:val="Default Paragraph Font"/>
    <w:link w:val="Style_11"/>
  </w:style>
  <w:style w:styleId="Style_12" w:type="paragraph">
    <w:name w:val="toc 3"/>
    <w:next w:val="Style_1"/>
    <w:link w:val="Style_12_ch"/>
    <w:uiPriority w:val="39"/>
    <w:pPr>
      <w:ind w:firstLine="0" w:left="400"/>
      <w:jc w:val="left"/>
    </w:pPr>
    <w:rPr>
      <w:rFonts w:ascii="XO Thames" w:hAnsi="XO Thames"/>
      <w:sz w:val="28"/>
    </w:rPr>
  </w:style>
  <w:style w:styleId="Style_12_ch" w:type="character">
    <w:name w:val="toc 3"/>
    <w:link w:val="Style_12"/>
    <w:rPr>
      <w:rFonts w:ascii="XO Thames" w:hAnsi="XO Thames"/>
      <w:sz w:val="28"/>
    </w:rPr>
  </w:style>
  <w:style w:styleId="Style_13" w:type="paragraph">
    <w:name w:val="Таблицы (моноширинный)"/>
    <w:basedOn w:val="Style_1"/>
    <w:next w:val="Style_1"/>
    <w:link w:val="Style_13_ch"/>
    <w:pPr>
      <w:widowControl w:val="0"/>
      <w:ind/>
      <w:jc w:val="both"/>
    </w:pPr>
    <w:rPr>
      <w:rFonts w:ascii="Courier New" w:hAnsi="Courier New"/>
      <w:sz w:val="20"/>
    </w:rPr>
  </w:style>
  <w:style w:styleId="Style_13_ch" w:type="character">
    <w:name w:val="Таблицы (моноширинный)"/>
    <w:basedOn w:val="Style_1_ch"/>
    <w:link w:val="Style_13"/>
    <w:rPr>
      <w:rFonts w:ascii="Courier New" w:hAnsi="Courier New"/>
      <w:sz w:val="20"/>
    </w:rPr>
  </w:style>
  <w:style w:styleId="Style_14" w:type="paragraph">
    <w:name w:val="heading 5"/>
    <w:basedOn w:val="Style_1"/>
    <w:next w:val="Style_1"/>
    <w:link w:val="Style_14_ch"/>
    <w:uiPriority w:val="9"/>
    <w:qFormat/>
    <w:pPr>
      <w:keepNext w:val="1"/>
      <w:keepLines w:val="1"/>
      <w:spacing w:after="40" w:before="220"/>
      <w:ind/>
      <w:outlineLvl w:val="4"/>
    </w:pPr>
    <w:rPr>
      <w:b w:val="1"/>
      <w:sz w:val="22"/>
    </w:rPr>
  </w:style>
  <w:style w:styleId="Style_14_ch" w:type="character">
    <w:name w:val="heading 5"/>
    <w:basedOn w:val="Style_1_ch"/>
    <w:link w:val="Style_14"/>
    <w:rPr>
      <w:b w:val="1"/>
      <w:sz w:val="22"/>
    </w:rPr>
  </w:style>
  <w:style w:styleId="Style_15" w:type="paragraph">
    <w:name w:val="heading 1"/>
    <w:basedOn w:val="Style_1"/>
    <w:next w:val="Style_1"/>
    <w:link w:val="Style_15_ch"/>
    <w:uiPriority w:val="9"/>
    <w:qFormat/>
    <w:pPr>
      <w:keepNext w:val="1"/>
      <w:widowControl w:val="0"/>
      <w:spacing w:line="400" w:lineRule="exact"/>
      <w:ind w:firstLine="0" w:left="3700" w:right="3600"/>
      <w:jc w:val="both"/>
      <w:outlineLvl w:val="0"/>
    </w:pPr>
    <w:rPr>
      <w:b w:val="1"/>
      <w:sz w:val="28"/>
    </w:rPr>
  </w:style>
  <w:style w:styleId="Style_15_ch" w:type="character">
    <w:name w:val="heading 1"/>
    <w:basedOn w:val="Style_1_ch"/>
    <w:link w:val="Style_15"/>
    <w:rPr>
      <w:b w:val="1"/>
      <w:sz w:val="28"/>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Body Text Indent 2"/>
    <w:basedOn w:val="Style_1"/>
    <w:link w:val="Style_21_ch"/>
    <w:pPr>
      <w:widowControl w:val="0"/>
      <w:spacing w:after="20" w:before="20"/>
      <w:ind w:firstLine="360" w:left="0" w:right="-8"/>
      <w:jc w:val="both"/>
    </w:pPr>
  </w:style>
  <w:style w:styleId="Style_21_ch" w:type="character">
    <w:name w:val="Body Text Indent 2"/>
    <w:basedOn w:val="Style_1_ch"/>
    <w:link w:val="Style_21"/>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Body Text Indent 3"/>
    <w:basedOn w:val="Style_1"/>
    <w:link w:val="Style_23_ch"/>
    <w:pPr>
      <w:spacing w:after="120"/>
      <w:ind w:firstLine="0" w:left="283"/>
    </w:pPr>
    <w:rPr>
      <w:sz w:val="16"/>
    </w:rPr>
  </w:style>
  <w:style w:styleId="Style_23_ch" w:type="character">
    <w:name w:val="Body Text Indent 3"/>
    <w:basedOn w:val="Style_1_ch"/>
    <w:link w:val="Style_23"/>
    <w:rPr>
      <w:sz w:val="16"/>
    </w:rPr>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Гипертекстовая ссылка"/>
    <w:link w:val="Style_25_ch"/>
    <w:rPr>
      <w:b w:val="1"/>
      <w:color w:val="008000"/>
      <w:sz w:val="20"/>
      <w:u w:val="single"/>
    </w:rPr>
  </w:style>
  <w:style w:styleId="Style_25_ch" w:type="character">
    <w:name w:val="Гипертекстовая ссылка"/>
    <w:link w:val="Style_25"/>
    <w:rPr>
      <w:b w:val="1"/>
      <w:color w:val="008000"/>
      <w:sz w:val="20"/>
      <w:u w:val="single"/>
    </w:rPr>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default="1" w:styleId="Style_44" w:type="table">
    <w:name w:val="Normal Table"/>
    <w:tblPr>
      <w:tblInd w:type="dxa" w:w="0"/>
      <w:tblCellMar>
        <w:top w:type="dxa" w:w="0"/>
        <w:left w:type="dxa" w:w="108"/>
        <w:bottom w:type="dxa" w:w="0"/>
        <w:right w:type="dxa" w:w="108"/>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2023-12-23T20:13:41Z</dcterms:modified>
</cp:coreProperties>
</file>